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8025"/>
      </w:tblGrid>
      <w:tr w:rsidR="00630CA6" w:rsidRPr="00BB3752" w:rsidTr="00630CA6">
        <w:trPr>
          <w:gridAfter w:val="1"/>
        </w:trPr>
        <w:tc>
          <w:tcPr>
            <w:tcW w:w="0" w:type="auto"/>
            <w:shd w:val="clear" w:color="auto" w:fill="ECF6FF"/>
            <w:vAlign w:val="center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E7A58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Đăng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tham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gia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đối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đang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cư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trú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tại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cộng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đồng</w:t>
            </w:r>
            <w:proofErr w:type="spellEnd"/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Mã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1.003481.H42</w:t>
            </w:r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Lĩnh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vực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Y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tế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Dự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phòng</w:t>
            </w:r>
            <w:proofErr w:type="spellEnd"/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quan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có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thẩm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quyền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quyết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: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sở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trên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bàn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tỉnh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quan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trực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thực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TTHC: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sở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trên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bàn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tỉnh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Cách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Gửi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hồ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qua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đường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bưu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hoặc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nộp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trực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tại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sở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bằng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thế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trên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bàn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tỉnh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Ninh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Bình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Đối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tượng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Tổ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chức</w:t>
            </w:r>
            <w:proofErr w:type="spellEnd"/>
          </w:p>
        </w:tc>
      </w:tr>
      <w:tr w:rsidR="00630CA6" w:rsidRPr="00BB3752" w:rsidTr="00630CA6">
        <w:tc>
          <w:tcPr>
            <w:tcW w:w="0" w:type="auto"/>
            <w:shd w:val="clear" w:color="auto" w:fill="auto"/>
            <w:vAlign w:val="center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Trình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1:</w:t>
            </w: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nộp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hồ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đăng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ký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theo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cho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sở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trên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bàn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tỉnh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Ninh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Bình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nơi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đó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nhu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cầu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được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),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trong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giờ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làm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việc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hành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chính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ngày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trong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tuần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(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trừ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ngày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nghỉ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,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lễ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)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theo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2:</w:t>
            </w: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 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bộ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nhận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hồ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kiểm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tính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pháp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lý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và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nội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dung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hồ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: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-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Trường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hợp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hô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̀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đầy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đủ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hoặc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hợp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lê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̣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̀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bộ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nhận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hồ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hướng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dẫn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để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đến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nộp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hồ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bổ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sung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và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hoàn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hồ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-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Trường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hợp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hồ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hợp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lệ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thì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đứng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đầu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sở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,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nơi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đó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đăng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ký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có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trách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nhiệm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tổ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chức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khám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đánh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giá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cho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đăng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ký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gia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.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Trường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hợp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đủ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gia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thì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hành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nhận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Mẫu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02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quy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tại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Phụ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lục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 </w:t>
            </w: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-</w:t>
            </w:r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Nghị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 90/2016/NĐ-CP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01/7/2016.</w:t>
            </w: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Trường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hợp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đồng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ý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nhận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phải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trả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bằng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văn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bản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và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nêu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rõ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lý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do.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lastRenderedPageBreak/>
              <w:t>Thời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hạn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giải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quyết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Ngay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sau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nhận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được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đơn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đăng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ký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của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đối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tượng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đăng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ký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gia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0</w:t>
            </w:r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Thành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phần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-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Đơn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đăng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ký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nghiện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chất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dạng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thuốc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phiện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bằng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thê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́ (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theo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Mẫu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số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01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tại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Phụ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lục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-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 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số</w:t>
            </w:r>
            <w:proofErr w:type="spellEnd"/>
            <w:proofErr w:type="gram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90/2016/NĐ-CP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ngày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01/7/2016).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-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Bản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sao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có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chứng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thực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của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một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trong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giấy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tờ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sau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: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Chứng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minh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nhân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dân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,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hộ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chiếu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,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giấy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khai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sinh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hoặc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hộ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khẩu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,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giấy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phép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lái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xe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lượng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bộ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01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bộ</w:t>
            </w:r>
            <w:proofErr w:type="spellEnd"/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Yêu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cầu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kiện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* 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Yêu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cầu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điều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kiện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đăng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tham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gia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: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-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tự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nguyện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gia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và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cam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kết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tuân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thủ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-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Đối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với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đủ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sáu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đến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chưa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đủ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mười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lăm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i/>
                <w:iCs/>
                <w:color w:val="1E2F41"/>
                <w:sz w:val="26"/>
                <w:szCs w:val="26"/>
                <w:bdr w:val="none" w:sz="0" w:space="0" w:color="auto" w:frame="1"/>
              </w:rPr>
              <w:t>, 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chỉ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được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có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sự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đồng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ý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bằng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văn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bản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của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đại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theo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pháp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luật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của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đó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Căn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cứ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pháp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-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Luật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Phòng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,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chống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nhiễm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vi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rút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gây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ra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hội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chứng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suy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giảm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miễn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dịch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mắc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phải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ở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(HIV/AIDS)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ngày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29/6/2006;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-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số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90/2016/NĐ-CP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ngày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01/7/2016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của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Chính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phủ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định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về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bằng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thay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thế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.</w:t>
            </w:r>
          </w:p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Biểu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mẫu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đính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kèm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 File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mẫu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:</w:t>
            </w:r>
          </w:p>
          <w:p w:rsidR="00630CA6" w:rsidRPr="00BB3752" w:rsidRDefault="00630CA6" w:rsidP="00630CA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YTDP22 </w:t>
            </w:r>
            <w:hyperlink r:id="rId5" w:history="1">
              <w:r w:rsidRPr="00BB3752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6"/>
                  <w:szCs w:val="26"/>
                  <w:u w:val="single"/>
                  <w:bdr w:val="none" w:sz="0" w:space="0" w:color="auto" w:frame="1"/>
                  <w:shd w:val="clear" w:color="auto" w:fill="CE7A58"/>
                </w:rPr>
                <w:t> </w:t>
              </w:r>
              <w:proofErr w:type="spellStart"/>
              <w:r w:rsidRPr="00BB3752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6"/>
                  <w:szCs w:val="26"/>
                  <w:u w:val="single"/>
                  <w:bdr w:val="none" w:sz="0" w:space="0" w:color="auto" w:frame="1"/>
                  <w:shd w:val="clear" w:color="auto" w:fill="CE7A58"/>
                </w:rPr>
                <w:t>Tải</w:t>
              </w:r>
              <w:proofErr w:type="spellEnd"/>
              <w:r w:rsidRPr="00BB3752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6"/>
                  <w:szCs w:val="26"/>
                  <w:u w:val="single"/>
                  <w:bdr w:val="none" w:sz="0" w:space="0" w:color="auto" w:frame="1"/>
                  <w:shd w:val="clear" w:color="auto" w:fill="CE7A58"/>
                </w:rPr>
                <w:t xml:space="preserve"> </w:t>
              </w:r>
              <w:proofErr w:type="spellStart"/>
              <w:r w:rsidRPr="00BB3752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6"/>
                  <w:szCs w:val="26"/>
                  <w:u w:val="single"/>
                  <w:bdr w:val="none" w:sz="0" w:space="0" w:color="auto" w:frame="1"/>
                  <w:shd w:val="clear" w:color="auto" w:fill="CE7A58"/>
                </w:rPr>
                <w:t>về</w:t>
              </w:r>
              <w:proofErr w:type="spellEnd"/>
            </w:hyperlink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 In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ấn</w:t>
            </w:r>
            <w:proofErr w:type="spellEnd"/>
          </w:p>
        </w:tc>
      </w:tr>
      <w:tr w:rsidR="00630CA6" w:rsidRPr="00BB3752" w:rsidTr="00630C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B3752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shd w:val="clear" w:color="auto" w:fill="ECF6FF"/>
            <w:vAlign w:val="center"/>
            <w:hideMark/>
          </w:tcPr>
          <w:p w:rsidR="00630CA6" w:rsidRPr="00BB3752" w:rsidRDefault="00630CA6" w:rsidP="0063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30CA6" w:rsidRPr="00BB3752" w:rsidRDefault="00630CA6" w:rsidP="00630CA6">
      <w:pPr>
        <w:jc w:val="right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>Mẫu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số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01</w:t>
      </w:r>
    </w:p>
    <w:tbl>
      <w:tblPr>
        <w:tblW w:w="4842" w:type="pct"/>
        <w:tblInd w:w="108" w:type="dxa"/>
        <w:tblLook w:val="01E0" w:firstRow="1" w:lastRow="1" w:firstColumn="1" w:lastColumn="1" w:noHBand="0" w:noVBand="0"/>
      </w:tblPr>
      <w:tblGrid>
        <w:gridCol w:w="1912"/>
        <w:gridCol w:w="7149"/>
      </w:tblGrid>
      <w:tr w:rsidR="00630CA6" w:rsidRPr="00BB3752" w:rsidTr="004842C7">
        <w:trPr>
          <w:trHeight w:val="76"/>
        </w:trPr>
        <w:tc>
          <w:tcPr>
            <w:tcW w:w="105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0CA6" w:rsidRPr="00BB3752" w:rsidRDefault="00630CA6" w:rsidP="004842C7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:rsidR="00630CA6" w:rsidRPr="00BB3752" w:rsidRDefault="00630CA6" w:rsidP="004842C7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Ảnh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br/>
              <w:t>4cm x 6cm</w:t>
            </w:r>
          </w:p>
          <w:p w:rsidR="00630CA6" w:rsidRPr="00BB3752" w:rsidRDefault="00630CA6" w:rsidP="004842C7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3945" w:type="pct"/>
            <w:tcBorders>
              <w:left w:val="single" w:sz="2" w:space="0" w:color="auto"/>
            </w:tcBorders>
          </w:tcPr>
          <w:p w:rsidR="00630CA6" w:rsidRPr="00BB3752" w:rsidRDefault="00630CA6" w:rsidP="004842C7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BB3752">
              <w:rPr>
                <w:rFonts w:ascii="Times New Roman" w:hAnsi="Times New Roman" w:cs="Times New Roman"/>
                <w:b/>
                <w:noProof/>
                <w:color w:val="0000FF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EDDB4" wp14:editId="3E8C0839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430530</wp:posOffset>
                      </wp:positionV>
                      <wp:extent cx="2137410" cy="0"/>
                      <wp:effectExtent l="8255" t="5715" r="6985" b="13335"/>
                      <wp:wrapNone/>
                      <wp:docPr id="78" name="Straight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EBB4F" id="Straight Connector 7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33.9pt" to="265.6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"/>
                  </w:pict>
                </mc:Fallback>
              </mc:AlternateContent>
            </w:r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CỘNG HÒA XÃ HỘI CHỦ NGHĨA VIỆT NAM</w:t>
            </w:r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br/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Độc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lập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-</w:t>
            </w:r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Tự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do </w:t>
            </w:r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-</w:t>
            </w:r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Hạnh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phúc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br/>
            </w:r>
          </w:p>
        </w:tc>
      </w:tr>
    </w:tbl>
    <w:p w:rsidR="00630CA6" w:rsidRPr="00BB3752" w:rsidRDefault="00630CA6" w:rsidP="00630CA6">
      <w:pPr>
        <w:rPr>
          <w:rFonts w:ascii="Times New Roman" w:hAnsi="Times New Roman" w:cs="Times New Roman"/>
          <w:color w:val="0000FF"/>
          <w:sz w:val="26"/>
          <w:szCs w:val="26"/>
        </w:rPr>
      </w:pPr>
    </w:p>
    <w:p w:rsidR="00630CA6" w:rsidRPr="00BB3752" w:rsidRDefault="00630CA6" w:rsidP="00630CA6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630CA6" w:rsidRPr="00BB3752" w:rsidRDefault="00630CA6" w:rsidP="00630CA6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ĐƠN ĐĂNG KÝ</w:t>
      </w:r>
    </w:p>
    <w:p w:rsidR="00630CA6" w:rsidRPr="00BB3752" w:rsidRDefault="00630CA6" w:rsidP="00630CA6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Tham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gia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điều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trị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nghiện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chất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dạng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thuốc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phiện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bằng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thuốc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thay</w:t>
      </w:r>
      <w:proofErr w:type="spellEnd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b/>
          <w:color w:val="0000FF"/>
          <w:sz w:val="26"/>
          <w:szCs w:val="26"/>
        </w:rPr>
        <w:t>thế</w:t>
      </w:r>
      <w:proofErr w:type="spellEnd"/>
    </w:p>
    <w:p w:rsidR="00630CA6" w:rsidRPr="00BB3752" w:rsidRDefault="00630CA6" w:rsidP="00630CA6">
      <w:pPr>
        <w:jc w:val="center"/>
        <w:rPr>
          <w:rFonts w:ascii="Times New Roman" w:hAnsi="Times New Roman" w:cs="Times New Roman"/>
          <w:color w:val="0000FF"/>
          <w:sz w:val="26"/>
          <w:szCs w:val="26"/>
        </w:rPr>
      </w:pPr>
    </w:p>
    <w:p w:rsidR="00630CA6" w:rsidRPr="00BB3752" w:rsidRDefault="00630CA6" w:rsidP="00630CA6">
      <w:pPr>
        <w:spacing w:before="120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Kính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gửi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: ……………………</w:t>
      </w:r>
      <w:r w:rsidRPr="00BB3752">
        <w:rPr>
          <w:rFonts w:ascii="Times New Roman" w:hAnsi="Times New Roman" w:cs="Times New Roman"/>
          <w:color w:val="0000FF"/>
          <w:sz w:val="26"/>
          <w:szCs w:val="26"/>
          <w:vertAlign w:val="superscript"/>
        </w:rPr>
        <w:t>1</w:t>
      </w:r>
      <w:r w:rsidRPr="00BB3752">
        <w:rPr>
          <w:rFonts w:ascii="Times New Roman" w:hAnsi="Times New Roman" w:cs="Times New Roman"/>
          <w:color w:val="0000FF"/>
          <w:sz w:val="26"/>
          <w:szCs w:val="26"/>
        </w:rPr>
        <w:t>………………</w:t>
      </w:r>
    </w:p>
    <w:p w:rsidR="00630CA6" w:rsidRPr="00BB3752" w:rsidRDefault="00630CA6" w:rsidP="00630CA6">
      <w:pPr>
        <w:tabs>
          <w:tab w:val="right" w:leader="dot" w:pos="8322"/>
        </w:tabs>
        <w:spacing w:before="120"/>
        <w:rPr>
          <w:rFonts w:ascii="Times New Roman" w:hAnsi="Times New Roman" w:cs="Times New Roman"/>
          <w:color w:val="0000FF"/>
          <w:sz w:val="26"/>
          <w:szCs w:val="26"/>
        </w:rPr>
      </w:pP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Tên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tôi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proofErr w:type="gram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là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:…</w:t>
      </w:r>
      <w:proofErr w:type="gram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…………………………………………………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Giới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tính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:………………</w:t>
      </w:r>
    </w:p>
    <w:p w:rsidR="00630CA6" w:rsidRPr="00BB3752" w:rsidRDefault="00630CA6" w:rsidP="00630CA6">
      <w:pPr>
        <w:tabs>
          <w:tab w:val="right" w:leader="dot" w:pos="8322"/>
        </w:tabs>
        <w:spacing w:before="120"/>
        <w:rPr>
          <w:rFonts w:ascii="Times New Roman" w:hAnsi="Times New Roman" w:cs="Times New Roman"/>
          <w:color w:val="0000FF"/>
          <w:sz w:val="26"/>
          <w:szCs w:val="26"/>
        </w:rPr>
      </w:pP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Sinh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proofErr w:type="gram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ngày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:…</w:t>
      </w:r>
      <w:proofErr w:type="gram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……………………………,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tại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:………………………………………….</w:t>
      </w:r>
    </w:p>
    <w:p w:rsidR="00630CA6" w:rsidRPr="00BB3752" w:rsidRDefault="00630CA6" w:rsidP="00630CA6">
      <w:pPr>
        <w:tabs>
          <w:tab w:val="right" w:leader="dot" w:pos="8322"/>
        </w:tabs>
        <w:spacing w:before="120"/>
        <w:rPr>
          <w:rFonts w:ascii="Times New Roman" w:hAnsi="Times New Roman" w:cs="Times New Roman"/>
          <w:color w:val="0000FF"/>
          <w:sz w:val="26"/>
          <w:szCs w:val="26"/>
        </w:rPr>
      </w:pP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Nơi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đăng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ký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thường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trú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/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nơi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ở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hiện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proofErr w:type="gram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tại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:…</w:t>
      </w:r>
      <w:proofErr w:type="gram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……………… </w:t>
      </w:r>
      <w:r w:rsidRPr="00BB3752">
        <w:rPr>
          <w:rFonts w:ascii="Times New Roman" w:hAnsi="Times New Roman" w:cs="Times New Roman"/>
          <w:color w:val="0000FF"/>
          <w:sz w:val="26"/>
          <w:szCs w:val="26"/>
          <w:vertAlign w:val="superscript"/>
        </w:rPr>
        <w:t>2</w:t>
      </w:r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BB3752">
        <w:rPr>
          <w:rFonts w:ascii="Times New Roman" w:hAnsi="Times New Roman" w:cs="Times New Roman"/>
          <w:color w:val="0000FF"/>
          <w:sz w:val="26"/>
          <w:szCs w:val="26"/>
        </w:rPr>
        <w:tab/>
        <w:t>…………………………….</w:t>
      </w:r>
    </w:p>
    <w:p w:rsidR="00630CA6" w:rsidRPr="00BB3752" w:rsidRDefault="00630CA6" w:rsidP="00630CA6">
      <w:pPr>
        <w:tabs>
          <w:tab w:val="right" w:leader="dot" w:pos="8322"/>
        </w:tabs>
        <w:spacing w:before="120"/>
        <w:rPr>
          <w:rFonts w:ascii="Times New Roman" w:hAnsi="Times New Roman" w:cs="Times New Roman"/>
          <w:color w:val="0000FF"/>
          <w:sz w:val="26"/>
          <w:szCs w:val="26"/>
        </w:rPr>
      </w:pPr>
      <w:r w:rsidRPr="00BB3752">
        <w:rPr>
          <w:rFonts w:ascii="Times New Roman" w:hAnsi="Times New Roman" w:cs="Times New Roman"/>
          <w:color w:val="0000FF"/>
          <w:sz w:val="26"/>
          <w:szCs w:val="26"/>
        </w:rPr>
        <w:t>………………………………………………………………………………………….</w:t>
      </w:r>
    </w:p>
    <w:p w:rsidR="00630CA6" w:rsidRPr="00BB3752" w:rsidRDefault="00630CA6" w:rsidP="00630CA6">
      <w:pPr>
        <w:spacing w:before="120"/>
        <w:rPr>
          <w:rFonts w:ascii="Times New Roman" w:hAnsi="Times New Roman" w:cs="Times New Roman"/>
          <w:color w:val="0000FF"/>
          <w:sz w:val="26"/>
          <w:szCs w:val="26"/>
        </w:rPr>
      </w:pP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Số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CMND/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hộ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chiếu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/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hộ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khẩu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/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giấy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phép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lái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xe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………...…,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cấp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ngày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: ….…/……/……</w:t>
      </w:r>
    </w:p>
    <w:p w:rsidR="00630CA6" w:rsidRPr="00BB3752" w:rsidRDefault="00630CA6" w:rsidP="00630CA6">
      <w:pPr>
        <w:tabs>
          <w:tab w:val="right" w:leader="dot" w:pos="8322"/>
        </w:tabs>
        <w:spacing w:before="120"/>
        <w:rPr>
          <w:rFonts w:ascii="Times New Roman" w:hAnsi="Times New Roman" w:cs="Times New Roman"/>
          <w:color w:val="0000FF"/>
          <w:sz w:val="26"/>
          <w:szCs w:val="26"/>
        </w:rPr>
      </w:pPr>
      <w:proofErr w:type="spellStart"/>
      <w:proofErr w:type="gram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tại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:…</w:t>
      </w:r>
      <w:proofErr w:type="gramEnd"/>
      <w:r w:rsidRPr="00BB3752">
        <w:rPr>
          <w:rFonts w:ascii="Times New Roman" w:hAnsi="Times New Roman" w:cs="Times New Roman"/>
          <w:color w:val="0000FF"/>
          <w:sz w:val="26"/>
          <w:szCs w:val="26"/>
        </w:rPr>
        <w:t>……………………………………………………………………………………</w:t>
      </w:r>
    </w:p>
    <w:p w:rsidR="00630CA6" w:rsidRPr="00BB3752" w:rsidRDefault="00630CA6" w:rsidP="00630CA6">
      <w:pPr>
        <w:ind w:firstLine="72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Qua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tìm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hiểu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các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điều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kiện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và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quy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định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liên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quan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tôi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làm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đơn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này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xin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tự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nguyện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đăng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ký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tham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gia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điều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trị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nghiện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các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chất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dạng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thuốc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phiện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bằng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thuốc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thay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thế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Tôi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cam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kết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nghiêm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túc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tuân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thủ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phác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đồ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điều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trị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và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nội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quy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của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cơ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sở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điều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trị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630CA6" w:rsidRPr="00BB3752" w:rsidRDefault="00630CA6" w:rsidP="00630CA6">
      <w:pPr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Trân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trọng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cảm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BB3752">
        <w:rPr>
          <w:rFonts w:ascii="Times New Roman" w:hAnsi="Times New Roman" w:cs="Times New Roman"/>
          <w:color w:val="0000FF"/>
          <w:sz w:val="26"/>
          <w:szCs w:val="26"/>
        </w:rPr>
        <w:t>ơn</w:t>
      </w:r>
      <w:proofErr w:type="spellEnd"/>
      <w:r w:rsidRPr="00BB3752">
        <w:rPr>
          <w:rFonts w:ascii="Times New Roman" w:hAnsi="Times New Roman" w:cs="Times New Roman"/>
          <w:color w:val="0000FF"/>
          <w:sz w:val="26"/>
          <w:szCs w:val="26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3"/>
        <w:gridCol w:w="4637"/>
      </w:tblGrid>
      <w:tr w:rsidR="00630CA6" w:rsidRPr="00BB3752" w:rsidTr="004842C7">
        <w:trPr>
          <w:trHeight w:val="3294"/>
        </w:trPr>
        <w:tc>
          <w:tcPr>
            <w:tcW w:w="4923" w:type="dxa"/>
          </w:tcPr>
          <w:p w:rsidR="00630CA6" w:rsidRPr="00BB3752" w:rsidRDefault="00630CA6" w:rsidP="004842C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Đại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diện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của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đơn</w:t>
            </w:r>
            <w:proofErr w:type="spellEnd"/>
          </w:p>
          <w:p w:rsidR="00630CA6" w:rsidRPr="00BB3752" w:rsidRDefault="00630CA6" w:rsidP="004842C7">
            <w:pPr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Tôi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tên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là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………</w:t>
            </w:r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  <w:vertAlign w:val="superscript"/>
              </w:rPr>
              <w:t>3</w:t>
            </w:r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………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CMND/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chiếu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/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hộ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khẩu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/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giấy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phép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lái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xe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cấp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ngày</w:t>
            </w:r>
            <w:proofErr w:type="spellEnd"/>
            <w:proofErr w:type="gram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....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tháng</w:t>
            </w:r>
            <w:proofErr w:type="spellEnd"/>
            <w:proofErr w:type="gram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…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năm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……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……</w:t>
            </w:r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  <w:vertAlign w:val="superscript"/>
              </w:rPr>
              <w:t>4</w:t>
            </w:r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…….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là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đại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diện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theo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pháp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luật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của</w:t>
            </w:r>
            <w:bookmarkStart w:id="0" w:name="bookmark1"/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…… </w:t>
            </w:r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  <w:vertAlign w:val="superscript"/>
              </w:rPr>
              <w:t>5</w:t>
            </w:r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……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đồng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ý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cho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……</w:t>
            </w:r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  <w:vertAlign w:val="superscript"/>
              </w:rPr>
              <w:t>6</w:t>
            </w:r>
            <w:bookmarkEnd w:id="0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……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tham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gia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điều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trị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nghiện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chất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dạng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phiện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bookmarkStart w:id="1" w:name="_GoBack"/>
            <w:bookmarkEnd w:id="1"/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bằng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thuốc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thay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thế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tại</w:t>
            </w:r>
            <w:proofErr w:type="spellEnd"/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…………</w:t>
            </w:r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  <w:vertAlign w:val="superscript"/>
              </w:rPr>
              <w:t>7</w:t>
            </w:r>
            <w:r w:rsidRPr="00BB375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…………</w:t>
            </w:r>
          </w:p>
          <w:p w:rsidR="00630CA6" w:rsidRPr="00BB3752" w:rsidRDefault="00630CA6" w:rsidP="004842C7">
            <w:pPr>
              <w:jc w:val="center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</w:pPr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lastRenderedPageBreak/>
              <w:t>(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Ký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và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ghi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rõ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họ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tên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)</w:t>
            </w:r>
          </w:p>
        </w:tc>
        <w:tc>
          <w:tcPr>
            <w:tcW w:w="4923" w:type="dxa"/>
          </w:tcPr>
          <w:p w:rsidR="00630CA6" w:rsidRPr="00BB3752" w:rsidRDefault="00630CA6" w:rsidP="004842C7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lastRenderedPageBreak/>
              <w:t>……</w:t>
            </w:r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vertAlign w:val="superscript"/>
              </w:rPr>
              <w:t>8</w:t>
            </w:r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……,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ngày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....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tháng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……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năm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20……</w:t>
            </w:r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br/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Người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làm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đơn</w:t>
            </w:r>
            <w:proofErr w:type="spellEnd"/>
            <w:r w:rsidRPr="00BB37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br/>
            </w:r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(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Ký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và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ghi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rõ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họ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tên</w:t>
            </w:r>
            <w:proofErr w:type="spellEnd"/>
            <w:r w:rsidRPr="00BB3752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)</w:t>
            </w:r>
          </w:p>
        </w:tc>
      </w:tr>
    </w:tbl>
    <w:p w:rsidR="00630CA6" w:rsidRPr="00BB3752" w:rsidRDefault="00630CA6" w:rsidP="00630CA6">
      <w:pPr>
        <w:rPr>
          <w:rFonts w:ascii="Times New Roman" w:hAnsi="Times New Roman" w:cs="Times New Roman"/>
          <w:sz w:val="26"/>
          <w:szCs w:val="26"/>
        </w:rPr>
      </w:pPr>
    </w:p>
    <w:p w:rsidR="00D844D2" w:rsidRPr="00BB3752" w:rsidRDefault="00D844D2">
      <w:pPr>
        <w:rPr>
          <w:rFonts w:ascii="Times New Roman" w:hAnsi="Times New Roman" w:cs="Times New Roman"/>
          <w:sz w:val="26"/>
          <w:szCs w:val="26"/>
        </w:rPr>
      </w:pPr>
    </w:p>
    <w:sectPr w:rsidR="00D844D2" w:rsidRPr="00BB3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93448"/>
    <w:multiLevelType w:val="multilevel"/>
    <w:tmpl w:val="E9CA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A6"/>
    <w:rsid w:val="00630CA6"/>
    <w:rsid w:val="00BB3752"/>
    <w:rsid w:val="00D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A8D1-65AE-4D96-B834-1811CCC6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0C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0C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30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chvucong.ninhbinh.gov.vn/public_dir/37/giayto/2019_10/1569986991_YTDP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HOA</dc:creator>
  <cp:keywords/>
  <dc:description/>
  <cp:lastModifiedBy>THANH HOA</cp:lastModifiedBy>
  <cp:revision>3</cp:revision>
  <dcterms:created xsi:type="dcterms:W3CDTF">2024-11-06T04:12:00Z</dcterms:created>
  <dcterms:modified xsi:type="dcterms:W3CDTF">2024-11-06T04:17:00Z</dcterms:modified>
</cp:coreProperties>
</file>